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color w:val="000000"/>
          <w:sz w:val="44"/>
          <w:szCs w:val="44"/>
        </w:rPr>
      </w:pPr>
      <w:bookmarkStart w:id="0" w:name="_GoBack"/>
      <w:bookmarkEnd w:id="0"/>
    </w:p>
    <w:p>
      <w:pPr>
        <w:adjustRightInd w:val="0"/>
        <w:snapToGrid w:val="0"/>
        <w:spacing w:line="560" w:lineRule="exact"/>
        <w:jc w:val="center"/>
        <w:rPr>
          <w:rFonts w:ascii="方正小标宋简体" w:eastAsia="方正小标宋简体"/>
          <w:color w:val="000000"/>
          <w:sz w:val="44"/>
          <w:szCs w:val="44"/>
        </w:rPr>
      </w:pPr>
      <w:r>
        <w:rPr>
          <w:rFonts w:ascii="仿宋_GB2312" w:eastAsia="仿宋_GB2312"/>
          <w:sz w:val="32"/>
          <w:szCs w:val="32"/>
        </w:rPr>
        <w:pict>
          <v:shape id="_x0000_s2053" o:spid="_x0000_s2053" o:spt="136" type="#_x0000_t136" style="position:absolute;left:0pt;margin-left:0.05pt;margin-top:2.65pt;height:84.75pt;width:436.65pt;z-index:251664384;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adjustRightInd w:val="0"/>
        <w:snapToGrid w:val="0"/>
        <w:spacing w:line="560" w:lineRule="exact"/>
        <w:jc w:val="center"/>
        <w:rPr>
          <w:rFonts w:ascii="方正小标宋简体" w:eastAsia="方正小标宋简体"/>
          <w:color w:val="000000"/>
          <w:sz w:val="44"/>
          <w:szCs w:val="44"/>
        </w:rPr>
      </w:pPr>
    </w:p>
    <w:p>
      <w:pPr>
        <w:adjustRightInd w:val="0"/>
        <w:snapToGrid w:val="0"/>
        <w:spacing w:line="560" w:lineRule="exact"/>
        <w:jc w:val="center"/>
        <w:rPr>
          <w:rFonts w:ascii="方正小标宋简体" w:eastAsia="方正小标宋简体"/>
          <w:color w:val="000000"/>
          <w:sz w:val="44"/>
          <w:szCs w:val="44"/>
        </w:rPr>
      </w:pPr>
    </w:p>
    <w:p>
      <w:pPr>
        <w:adjustRightInd w:val="0"/>
        <w:snapToGrid w:val="0"/>
        <w:spacing w:line="560" w:lineRule="exact"/>
        <w:jc w:val="center"/>
        <w:rPr>
          <w:rFonts w:ascii="方正小标宋简体" w:eastAsia="方正小标宋简体"/>
          <w:color w:val="000000"/>
          <w:sz w:val="44"/>
          <w:szCs w:val="44"/>
        </w:rPr>
      </w:pPr>
    </w:p>
    <w:p>
      <w:pPr>
        <w:adjustRightInd w:val="0"/>
        <w:snapToGrid w:val="0"/>
        <w:spacing w:line="560" w:lineRule="exact"/>
        <w:jc w:val="center"/>
        <w:rPr>
          <w:rFonts w:ascii="仿宋_GB2312" w:eastAsia="仿宋_GB2312"/>
          <w:color w:val="000000"/>
          <w:sz w:val="32"/>
          <w:szCs w:val="32"/>
        </w:rPr>
      </w:pPr>
    </w:p>
    <w:p>
      <w:pPr>
        <w:adjustRightInd w:val="0"/>
        <w:snapToGrid w:val="0"/>
        <w:spacing w:line="560" w:lineRule="exact"/>
        <w:jc w:val="center"/>
        <w:rPr>
          <w:rFonts w:ascii="仿宋_GB2312" w:eastAsia="仿宋_GB2312"/>
          <w:color w:val="000000"/>
          <w:sz w:val="32"/>
          <w:szCs w:val="32"/>
        </w:rPr>
      </w:pPr>
      <w:r>
        <w:rPr>
          <w:rFonts w:hint="eastAsia" w:ascii="仿宋_GB2312" w:eastAsia="仿宋_GB2312"/>
          <w:color w:val="000000"/>
          <w:sz w:val="32"/>
          <w:szCs w:val="32"/>
        </w:rPr>
        <w:t>滕政办发〔2018〕29号</w:t>
      </w:r>
    </w:p>
    <w:p>
      <w:pPr>
        <w:pStyle w:val="4"/>
        <w:shd w:val="clear" w:color="auto" w:fill="FFFFFF"/>
        <w:spacing w:before="0" w:beforeAutospacing="0" w:after="0" w:afterAutospacing="0" w:line="560" w:lineRule="exact"/>
        <w:jc w:val="center"/>
        <w:rPr>
          <w:rFonts w:ascii="仿宋_GB2312" w:hAnsi="Times New Roman" w:eastAsia="仿宋_GB2312" w:cs="方正小标宋简体"/>
          <w:bCs/>
          <w:color w:val="000000"/>
          <w:sz w:val="32"/>
          <w:szCs w:val="32"/>
        </w:rPr>
      </w:pPr>
      <w:r>
        <w:rPr>
          <w:rFonts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70485</wp:posOffset>
                </wp:positionV>
                <wp:extent cx="5143500" cy="635"/>
                <wp:effectExtent l="0" t="0" r="0" b="0"/>
                <wp:wrapNone/>
                <wp:docPr id="5" name="直线 6"/>
                <wp:cNvGraphicFramePr/>
                <a:graphic xmlns:a="http://schemas.openxmlformats.org/drawingml/2006/main">
                  <a:graphicData uri="http://schemas.microsoft.com/office/word/2010/wordprocessingShape">
                    <wps:wsp>
                      <wps:cNvCnPr/>
                      <wps:spPr>
                        <a:xfrm>
                          <a:off x="0" y="0"/>
                          <a:ext cx="5143500" cy="635"/>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5.55pt;height:0.05pt;width:405pt;z-index:251667456;mso-width-relative:page;mso-height-relative:page;" filled="f" stroked="t" coordsize="21600,21600" o:gfxdata="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tQtantEAAAAG&#10;AQAADwAAAAAAAAABACAAAAA4AAAAZHJzL2Rvd25yZXYueG1sUEsBAhQAFAAAAAgAh07iQMwXP0TU&#10;AQAAkwMAAA4AAAAAAAAAAQAgAAAANgEAAGRycy9lMm9Eb2MueG1sUEsFBgAAAAAGAAYAWQEAAHwF&#10;AAAAAA==&#10;">
                <v:fill on="f" focussize="0,0"/>
                <v:stroke weight="2.25pt" color="#FF0000" joinstyle="round"/>
                <v:imagedata o:title=""/>
                <o:lock v:ext="edit" aspectratio="f"/>
              </v:line>
            </w:pict>
          </mc:Fallback>
        </mc:AlternateContent>
      </w:r>
    </w:p>
    <w:p>
      <w:pPr>
        <w:pStyle w:val="4"/>
        <w:shd w:val="clear" w:color="auto" w:fill="FFFFFF"/>
        <w:spacing w:before="0" w:beforeAutospacing="0" w:after="0" w:afterAutospacing="0" w:line="560" w:lineRule="exact"/>
        <w:jc w:val="center"/>
        <w:rPr>
          <w:rFonts w:ascii="方正小标宋简体" w:hAnsi="黑体" w:eastAsia="方正小标宋简体" w:cs="仿宋_GB2312"/>
          <w:color w:val="000000"/>
          <w:sz w:val="44"/>
          <w:szCs w:val="44"/>
        </w:rPr>
      </w:pPr>
      <w:r>
        <w:rPr>
          <w:rFonts w:hint="eastAsia" w:ascii="方正小标宋简体" w:hAnsi="黑体" w:eastAsia="方正小标宋简体" w:cs="仿宋_GB2312"/>
          <w:color w:val="000000"/>
          <w:sz w:val="44"/>
          <w:szCs w:val="44"/>
        </w:rPr>
        <w:t>滕州市人民政府办公室</w:t>
      </w:r>
    </w:p>
    <w:p>
      <w:pPr>
        <w:pStyle w:val="4"/>
        <w:shd w:val="clear" w:color="auto" w:fill="FFFFFF"/>
        <w:spacing w:before="0" w:beforeAutospacing="0" w:after="0" w:afterAutospacing="0" w:line="560" w:lineRule="exact"/>
        <w:jc w:val="center"/>
        <w:rPr>
          <w:rFonts w:ascii="方正小标宋简体" w:hAnsi="黑体" w:eastAsia="方正小标宋简体" w:cs="仿宋_GB2312"/>
          <w:color w:val="000000"/>
          <w:sz w:val="44"/>
          <w:szCs w:val="44"/>
        </w:rPr>
      </w:pPr>
      <w:r>
        <w:rPr>
          <w:rFonts w:hint="eastAsia" w:ascii="方正小标宋简体" w:hAnsi="黑体" w:eastAsia="方正小标宋简体" w:cs="方正小标宋简体"/>
          <w:bCs/>
          <w:color w:val="000000"/>
          <w:sz w:val="44"/>
          <w:szCs w:val="44"/>
        </w:rPr>
        <w:t>关于</w:t>
      </w:r>
      <w:r>
        <w:rPr>
          <w:rFonts w:hint="eastAsia" w:ascii="方正小标宋简体" w:hAnsi="黑体" w:eastAsia="方正小标宋简体" w:cs="仿宋_GB2312"/>
          <w:color w:val="000000"/>
          <w:sz w:val="44"/>
          <w:szCs w:val="44"/>
        </w:rPr>
        <w:t>滕州市城镇土地投资开发有限公司</w:t>
      </w:r>
    </w:p>
    <w:p>
      <w:pPr>
        <w:pStyle w:val="4"/>
        <w:shd w:val="clear" w:color="auto" w:fill="FFFFFF"/>
        <w:spacing w:before="0" w:beforeAutospacing="0" w:after="0" w:afterAutospacing="0" w:line="560" w:lineRule="exact"/>
        <w:jc w:val="center"/>
        <w:rPr>
          <w:rFonts w:ascii="方正小标宋简体" w:hAnsi="黑体" w:eastAsia="方正小标宋简体" w:cs="Times New Roman"/>
          <w:bCs/>
          <w:color w:val="000000"/>
          <w:sz w:val="44"/>
          <w:szCs w:val="44"/>
        </w:rPr>
      </w:pPr>
      <w:r>
        <w:rPr>
          <w:rFonts w:hint="eastAsia" w:ascii="方正小标宋简体" w:hAnsi="黑体" w:eastAsia="方正小标宋简体" w:cs="方正小标宋简体"/>
          <w:bCs/>
          <w:color w:val="000000"/>
          <w:sz w:val="44"/>
          <w:szCs w:val="44"/>
        </w:rPr>
        <w:t>投资土地整治项目管理有关事项的通知</w:t>
      </w:r>
    </w:p>
    <w:p>
      <w:pPr>
        <w:pStyle w:val="4"/>
        <w:shd w:val="clear" w:color="auto" w:fill="FFFFFF"/>
        <w:spacing w:before="0" w:beforeAutospacing="0" w:after="0" w:afterAutospacing="0" w:line="560" w:lineRule="exact"/>
        <w:ind w:firstLine="525"/>
        <w:jc w:val="center"/>
        <w:rPr>
          <w:rFonts w:ascii="黑体" w:hAnsi="黑体" w:eastAsia="黑体" w:cs="Times New Roman"/>
          <w:bCs/>
          <w:color w:val="000000"/>
          <w:sz w:val="44"/>
          <w:szCs w:val="44"/>
        </w:rPr>
      </w:pPr>
    </w:p>
    <w:p>
      <w:pPr>
        <w:pStyle w:val="4"/>
        <w:shd w:val="clear" w:color="auto" w:fill="FFFFFF"/>
        <w:spacing w:before="0" w:beforeAutospacing="0" w:after="0" w:afterAutospacing="0" w:line="560" w:lineRule="exac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各镇人民政府、街道办事处，滕州经济开发区管委会，市政府各部门，各企事业单位：</w:t>
      </w:r>
    </w:p>
    <w:p>
      <w:pPr>
        <w:pStyle w:val="4"/>
        <w:shd w:val="clear" w:color="auto" w:fill="FFFFFF"/>
        <w:spacing w:before="0" w:beforeAutospacing="0" w:after="0" w:afterAutospacing="0" w:line="560" w:lineRule="exact"/>
        <w:ind w:firstLine="52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为进一步加强耕地占补平衡工作，规范土地整治项目管理，根据中发</w:t>
      </w:r>
      <w:r>
        <w:rPr>
          <w:rFonts w:hint="eastAsia" w:ascii="仿宋_GB2312" w:eastAsia="仿宋_GB2312"/>
          <w:color w:val="000000"/>
          <w:sz w:val="32"/>
          <w:szCs w:val="32"/>
        </w:rPr>
        <w:t>〔2017〕</w:t>
      </w:r>
      <w:r>
        <w:rPr>
          <w:rFonts w:hint="eastAsia" w:ascii="仿宋_GB2312" w:hAnsi="仿宋" w:eastAsia="仿宋_GB2312" w:cs="仿宋_GB2312"/>
          <w:color w:val="000000"/>
          <w:sz w:val="32"/>
          <w:szCs w:val="32"/>
        </w:rPr>
        <w:t>4号文件、《山东省土地整治条例》和《枣庄市国土资源局</w:t>
      </w:r>
      <w:r>
        <w:rPr>
          <w:rFonts w:hint="eastAsia" w:ascii="仿宋_GB2312" w:hAnsi="仿宋" w:eastAsia="仿宋_GB2312" w:cs="仿宋_GB2312"/>
          <w:bCs/>
          <w:color w:val="000000"/>
          <w:sz w:val="32"/>
          <w:szCs w:val="32"/>
        </w:rPr>
        <w:t>关于社会资金投资土地整治项目管理有关事项的通知</w:t>
      </w:r>
      <w:r>
        <w:rPr>
          <w:rFonts w:hint="eastAsia" w:ascii="仿宋_GB2312" w:hAnsi="仿宋" w:eastAsia="仿宋_GB2312" w:cs="仿宋_GB2312"/>
          <w:color w:val="000000"/>
          <w:sz w:val="32"/>
          <w:szCs w:val="32"/>
        </w:rPr>
        <w:t>》（枣国土资发</w:t>
      </w:r>
      <w:r>
        <w:rPr>
          <w:rFonts w:hint="eastAsia" w:ascii="仿宋_GB2312" w:eastAsia="仿宋_GB2312"/>
          <w:color w:val="000000"/>
          <w:sz w:val="32"/>
          <w:szCs w:val="32"/>
        </w:rPr>
        <w:t>〔2017〕</w:t>
      </w:r>
      <w:r>
        <w:rPr>
          <w:rFonts w:hint="eastAsia" w:ascii="仿宋_GB2312" w:hAnsi="仿宋" w:eastAsia="仿宋_GB2312" w:cs="仿宋_GB2312"/>
          <w:color w:val="000000"/>
          <w:sz w:val="32"/>
          <w:szCs w:val="32"/>
        </w:rPr>
        <w:t xml:space="preserve">22号）等法规、文件精神，经市政府同意，现就滕州市城镇土地投资开发有限公司投资土地整治项目管理有关事项通知如下： </w:t>
      </w:r>
    </w:p>
    <w:p>
      <w:pPr>
        <w:pStyle w:val="4"/>
        <w:shd w:val="clear" w:color="auto" w:fill="FFFFFF"/>
        <w:spacing w:before="0" w:beforeAutospacing="0" w:after="0" w:afterAutospacing="0" w:line="560" w:lineRule="exact"/>
        <w:ind w:firstLine="645"/>
        <w:rPr>
          <w:rFonts w:ascii="黑体" w:hAnsi="黑体" w:eastAsia="黑体" w:cs="Times New Roman"/>
          <w:color w:val="000000"/>
          <w:sz w:val="32"/>
          <w:szCs w:val="32"/>
        </w:rPr>
      </w:pPr>
      <w:r>
        <w:rPr>
          <w:rFonts w:hint="eastAsia" w:ascii="黑体" w:hAnsi="黑体" w:eastAsia="黑体" w:cs="黑体"/>
          <w:color w:val="000000"/>
          <w:sz w:val="32"/>
          <w:szCs w:val="32"/>
        </w:rPr>
        <w:t>一、社会投资土地整治项目总体要求</w:t>
      </w:r>
    </w:p>
    <w:p>
      <w:pPr>
        <w:pStyle w:val="4"/>
        <w:shd w:val="clear" w:color="auto" w:fill="FFFFFF"/>
        <w:spacing w:before="0" w:beforeAutospacing="0" w:after="0" w:afterAutospacing="0"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（一）根据市政府授权，滕州市城镇土地投资开发有限公司（以下简称投资公司）负责承担我市社会投资土地整治项目建设资金的筹集，并和有关镇政府共同作为项目承担单位，组织实施土地整治项目建设。</w:t>
      </w:r>
    </w:p>
    <w:p>
      <w:pPr>
        <w:pStyle w:val="4"/>
        <w:shd w:val="clear" w:color="auto" w:fill="FFFFFF"/>
        <w:spacing w:before="0" w:beforeAutospacing="0" w:after="0" w:afterAutospacing="0" w:line="560" w:lineRule="exact"/>
        <w:ind w:firstLine="645"/>
        <w:jc w:val="both"/>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（二）社会资金投资的土地整治项目以政府为主导，实行计划管理，以土地开发整理复垦和工矿废弃地复垦利用项目为主。形成的指标为新增耕地占补平衡指标和工矿废弃地复垦利用指标（以下统称“指标”）。</w:t>
      </w:r>
    </w:p>
    <w:p>
      <w:pPr>
        <w:pStyle w:val="4"/>
        <w:shd w:val="clear" w:color="auto" w:fill="FFFFFF"/>
        <w:spacing w:before="0" w:beforeAutospacing="0" w:after="0" w:afterAutospacing="0" w:line="560" w:lineRule="exact"/>
        <w:ind w:firstLine="645"/>
        <w:jc w:val="both"/>
        <w:rPr>
          <w:rFonts w:ascii="黑体" w:hAnsi="黑体" w:eastAsia="黑体" w:cs="仿宋_GB2312"/>
          <w:color w:val="000000"/>
          <w:sz w:val="32"/>
          <w:szCs w:val="32"/>
        </w:rPr>
      </w:pPr>
      <w:r>
        <w:rPr>
          <w:rFonts w:hint="eastAsia" w:ascii="黑体" w:hAnsi="黑体" w:eastAsia="黑体" w:cs="仿宋_GB2312"/>
          <w:color w:val="000000"/>
          <w:sz w:val="32"/>
          <w:szCs w:val="32"/>
        </w:rPr>
        <w:t>二、项目运作程序</w:t>
      </w:r>
    </w:p>
    <w:p>
      <w:pPr>
        <w:pStyle w:val="4"/>
        <w:shd w:val="clear" w:color="auto" w:fill="FFFFFF"/>
        <w:spacing w:before="0" w:beforeAutospacing="0" w:after="0" w:afterAutospacing="0"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1.项目立项。市国土资源局负责实施项目立项，各镇根据市政府下达的年度新增耕地计划，结合耕地后备资源状况，会同投资公司编制项目可行性研究报告，报市国土局审核批复立项。</w:t>
      </w:r>
    </w:p>
    <w:p>
      <w:pPr>
        <w:pStyle w:val="4"/>
        <w:shd w:val="clear" w:color="auto" w:fill="FFFFFF"/>
        <w:spacing w:before="0" w:beforeAutospacing="0" w:after="0" w:afterAutospacing="0"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项目实施。各镇与投资公司作为实施主体，共同实施土地整治项目。依法采取招投标方式或委托方式选定具有相应资质的设计、施工、监理单位，编制项目规划设计与预算，组织项目实施并负责项目实施过程中的监管</w:t>
      </w:r>
    </w:p>
    <w:p>
      <w:pPr>
        <w:pStyle w:val="4"/>
        <w:shd w:val="clear" w:color="auto" w:fill="FFFFFF"/>
        <w:spacing w:before="0" w:beforeAutospacing="0" w:after="0" w:afterAutospacing="0"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3.竣工验收。项目竣工后，各镇会同投资公司开展项目竣工测量、新增耕地质量等级评定、编制工程决算和财务决算报审。市国土资源局组织项目初验，报枣庄市国土资源局组织项目终验。</w:t>
      </w:r>
    </w:p>
    <w:p>
      <w:pPr>
        <w:pStyle w:val="4"/>
        <w:shd w:val="clear" w:color="auto" w:fill="FFFFFF"/>
        <w:spacing w:before="0" w:beforeAutospacing="0" w:after="0" w:afterAutospacing="0"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4.指标确认。项目验收合格后，投资公司和相关镇向市国土资源局提出项目报备申请，按程序及时报备入库，新增耕地指标和复垦利用指标由省国土资源厅确认。</w:t>
      </w:r>
    </w:p>
    <w:p>
      <w:pPr>
        <w:pStyle w:val="4"/>
        <w:shd w:val="clear" w:color="auto" w:fill="FFFFFF"/>
        <w:spacing w:before="0" w:beforeAutospacing="0" w:after="0" w:afterAutospacing="0" w:line="560" w:lineRule="exact"/>
        <w:ind w:firstLine="645"/>
        <w:jc w:val="both"/>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三、指标的使用</w:t>
      </w:r>
    </w:p>
    <w:p>
      <w:pPr>
        <w:pStyle w:val="4"/>
        <w:shd w:val="clear" w:color="auto" w:fill="FFFFFF"/>
        <w:spacing w:before="0" w:beforeAutospacing="0" w:after="0" w:afterAutospacing="0"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投资公司和指标使用方为指标交易双方，即：批次用地的指标使用方为市政府，由市财政负责交纳指标交易费用。单独选址项目用地的指标使用方和指标交易费用的承担方均为项目用地单位。</w:t>
      </w:r>
    </w:p>
    <w:p>
      <w:pPr>
        <w:pStyle w:val="4"/>
        <w:shd w:val="clear" w:color="auto" w:fill="FFFFFF"/>
        <w:spacing w:before="0" w:beforeAutospacing="0" w:after="0" w:afterAutospacing="0" w:line="560" w:lineRule="exact"/>
        <w:ind w:firstLine="645"/>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指标使用方按照市政府规定的标准交纳指标交易费用。</w:t>
      </w:r>
    </w:p>
    <w:p>
      <w:pPr>
        <w:pStyle w:val="4"/>
        <w:shd w:val="clear" w:color="auto" w:fill="FFFFFF"/>
        <w:spacing w:before="0" w:beforeAutospacing="0" w:after="0" w:afterAutospacing="0" w:line="560" w:lineRule="exact"/>
        <w:ind w:firstLine="645"/>
        <w:rPr>
          <w:rFonts w:ascii="黑体" w:hAnsi="黑体" w:eastAsia="黑体" w:cs="仿宋_GB2312"/>
          <w:color w:val="000000"/>
          <w:sz w:val="32"/>
          <w:szCs w:val="32"/>
        </w:rPr>
      </w:pPr>
      <w:r>
        <w:rPr>
          <w:rFonts w:hint="eastAsia" w:ascii="黑体" w:hAnsi="黑体" w:eastAsia="黑体" w:cs="仿宋_GB2312"/>
          <w:color w:val="000000"/>
          <w:sz w:val="32"/>
          <w:szCs w:val="32"/>
        </w:rPr>
        <w:t>四、关于指标交易费用的交纳和拨付方式</w:t>
      </w:r>
    </w:p>
    <w:p>
      <w:pPr>
        <w:pStyle w:val="4"/>
        <w:shd w:val="clear" w:color="auto" w:fill="FFFFFF"/>
        <w:spacing w:before="0" w:beforeAutospacing="0" w:after="0" w:afterAutospacing="0" w:line="560" w:lineRule="exact"/>
        <w:ind w:firstLine="645"/>
        <w:rPr>
          <w:rFonts w:ascii="仿宋" w:hAnsi="仿宋" w:eastAsia="仿宋"/>
        </w:rPr>
      </w:pPr>
      <w:r>
        <w:rPr>
          <w:rFonts w:hint="eastAsia" w:ascii="楷体_GB2312" w:hAnsi="楷体" w:eastAsia="楷体_GB2312" w:cs="仿宋_GB2312"/>
          <w:color w:val="000000"/>
          <w:sz w:val="32"/>
          <w:szCs w:val="32"/>
        </w:rPr>
        <w:t>1.使用新增耕地指标的</w:t>
      </w:r>
      <w:r>
        <w:rPr>
          <w:rFonts w:hint="eastAsia" w:ascii="楷体_GB2312" w:hAnsi="仿宋" w:eastAsia="楷体_GB2312" w:cs="仿宋_GB2312"/>
          <w:color w:val="000000"/>
          <w:sz w:val="32"/>
          <w:szCs w:val="32"/>
        </w:rPr>
        <w:t>。</w:t>
      </w:r>
      <w:r>
        <w:rPr>
          <w:rFonts w:hint="eastAsia" w:ascii="仿宋_GB2312" w:hAnsi="仿宋" w:eastAsia="仿宋_GB2312" w:cs="仿宋_GB2312"/>
          <w:b/>
          <w:color w:val="000000"/>
          <w:sz w:val="32"/>
          <w:szCs w:val="32"/>
        </w:rPr>
        <w:t>批次用地，</w:t>
      </w:r>
      <w:r>
        <w:rPr>
          <w:rFonts w:hint="eastAsia" w:ascii="仿宋_GB2312" w:hAnsi="仿宋" w:eastAsia="仿宋_GB2312" w:cs="仿宋_GB2312"/>
          <w:color w:val="000000"/>
          <w:sz w:val="32"/>
          <w:szCs w:val="32"/>
        </w:rPr>
        <w:t>指标交易费用计入政府征地成本。在办理用地手续报批前，市国土资源局代表市政府与投资公司签订指标收购协议，市财政根据协议将指标交易费用拨付至国土资源局，由国土资源局支付给投资公司。</w:t>
      </w:r>
      <w:r>
        <w:rPr>
          <w:rFonts w:hint="eastAsia" w:ascii="仿宋_GB2312" w:hAnsi="仿宋" w:eastAsia="仿宋_GB2312" w:cs="仿宋_GB2312"/>
          <w:b/>
          <w:color w:val="000000"/>
          <w:sz w:val="32"/>
          <w:szCs w:val="32"/>
        </w:rPr>
        <w:t>单独选址项目用地，</w:t>
      </w:r>
      <w:r>
        <w:rPr>
          <w:rFonts w:hint="eastAsia" w:ascii="仿宋_GB2312" w:hAnsi="仿宋" w:eastAsia="仿宋_GB2312" w:cs="仿宋_GB2312"/>
          <w:color w:val="000000"/>
          <w:sz w:val="32"/>
          <w:szCs w:val="32"/>
        </w:rPr>
        <w:t>指标交易费用不计入征地成本，由用地单位和投资公司、国土资源局签订指标购买协议，在办理用地手续报批前，直接向投资公司支付指标交易费用。</w:t>
      </w:r>
    </w:p>
    <w:p>
      <w:pPr>
        <w:pStyle w:val="4"/>
        <w:shd w:val="clear" w:color="auto" w:fill="FFFFFF"/>
        <w:spacing w:before="0" w:beforeAutospacing="0" w:after="0" w:afterAutospacing="0" w:line="560" w:lineRule="exact"/>
        <w:ind w:firstLine="645"/>
        <w:jc w:val="both"/>
        <w:rPr>
          <w:rFonts w:ascii="仿宋_GB2312" w:hAnsi="仿宋" w:eastAsia="仿宋_GB2312" w:cs="仿宋_GB2312"/>
          <w:color w:val="000000"/>
          <w:sz w:val="32"/>
          <w:szCs w:val="32"/>
        </w:rPr>
      </w:pPr>
      <w:r>
        <w:rPr>
          <w:rFonts w:hint="eastAsia" w:ascii="楷体_GB2312" w:hAnsi="楷体" w:eastAsia="楷体_GB2312" w:cs="仿宋_GB2312"/>
          <w:color w:val="000000"/>
          <w:sz w:val="32"/>
          <w:szCs w:val="32"/>
        </w:rPr>
        <w:t>2.使用工矿废弃地复垦利用指标的。</w:t>
      </w:r>
      <w:r>
        <w:rPr>
          <w:rFonts w:hint="eastAsia" w:ascii="仿宋_GB2312" w:hAnsi="仿宋" w:eastAsia="仿宋_GB2312" w:cs="仿宋_GB2312"/>
          <w:color w:val="000000"/>
          <w:sz w:val="32"/>
          <w:szCs w:val="32"/>
        </w:rPr>
        <w:t>指标交易费用不计入征地成本。由使用指标的意向单位和投资公司签订指标购买协议，在办理用地报批手续前，向国土资源局预存指标交易费用。完成土地供应后，如意向单位依法取得土地使用权，由国土资源局将指标交易费用直接拨付至投资公司；否则，退回意向单位交纳的指标交易费用，由取得土地使用权的单位另行与投资公司签订协议，交纳该费用。</w:t>
      </w:r>
    </w:p>
    <w:p>
      <w:pPr>
        <w:pStyle w:val="4"/>
        <w:shd w:val="clear" w:color="auto" w:fill="FFFFFF"/>
        <w:spacing w:before="0" w:beforeAutospacing="0" w:after="0" w:afterAutospacing="0" w:line="560" w:lineRule="exact"/>
        <w:ind w:firstLine="645"/>
        <w:jc w:val="both"/>
        <w:rPr>
          <w:rFonts w:ascii="仿宋_GB2312" w:hAnsi="仿宋" w:eastAsia="仿宋_GB2312" w:cs="仿宋_GB2312"/>
          <w:color w:val="000000"/>
          <w:sz w:val="32"/>
          <w:szCs w:val="32"/>
        </w:rPr>
      </w:pPr>
      <w:r>
        <w:rPr>
          <w:rFonts w:ascii="楷体_GB2312" w:hAnsi="楷体" w:eastAsia="楷体_GB2312" w:cs="仿宋_GB2312"/>
          <w:color w:val="000000"/>
          <w:sz w:val="32"/>
          <w:szCs w:val="32"/>
        </w:rPr>
        <w:t>3</w:t>
      </w:r>
      <w:r>
        <w:rPr>
          <w:rFonts w:hint="eastAsia" w:ascii="楷体_GB2312" w:hAnsi="楷体" w:eastAsia="楷体_GB2312" w:cs="仿宋_GB2312"/>
          <w:color w:val="000000"/>
          <w:sz w:val="32"/>
          <w:szCs w:val="32"/>
        </w:rPr>
        <w:t>.成本核算与收益。</w:t>
      </w:r>
      <w:r>
        <w:rPr>
          <w:rFonts w:hint="eastAsia" w:ascii="仿宋_GB2312" w:hAnsi="仿宋" w:eastAsia="仿宋_GB2312" w:cs="仿宋_GB2312"/>
          <w:color w:val="000000"/>
          <w:sz w:val="32"/>
          <w:szCs w:val="32"/>
        </w:rPr>
        <w:t>市财政局负责核定投资公司收取的指标交易费用投资成本。偿还银行贷款后的收益，由投资公司优先用于后续土地整治项目的建设投资。</w:t>
      </w:r>
    </w:p>
    <w:p>
      <w:pPr>
        <w:pStyle w:val="4"/>
        <w:shd w:val="clear" w:color="auto" w:fill="FFFFFF"/>
        <w:spacing w:before="0" w:beforeAutospacing="0" w:after="0" w:afterAutospacing="0" w:line="560" w:lineRule="exact"/>
        <w:ind w:firstLine="645"/>
        <w:rPr>
          <w:rFonts w:ascii="黑体" w:hAnsi="黑体" w:eastAsia="黑体" w:cs="仿宋_GB2312"/>
          <w:color w:val="000000"/>
          <w:sz w:val="32"/>
          <w:szCs w:val="32"/>
        </w:rPr>
      </w:pPr>
      <w:r>
        <w:rPr>
          <w:rFonts w:hint="eastAsia" w:ascii="黑体" w:hAnsi="黑体" w:eastAsia="黑体" w:cs="黑体"/>
          <w:color w:val="000000"/>
          <w:sz w:val="32"/>
          <w:szCs w:val="32"/>
        </w:rPr>
        <w:t>五</w:t>
      </w:r>
      <w:r>
        <w:rPr>
          <w:rFonts w:hint="eastAsia" w:ascii="黑体" w:hAnsi="黑体" w:eastAsia="黑体" w:cs="仿宋_GB2312"/>
          <w:color w:val="000000"/>
          <w:sz w:val="32"/>
          <w:szCs w:val="32"/>
        </w:rPr>
        <w:t>、扎实推进社会资金投资补充耕地工作</w:t>
      </w:r>
    </w:p>
    <w:p>
      <w:pPr>
        <w:pStyle w:val="4"/>
        <w:shd w:val="clear" w:color="auto" w:fill="FFFFFF"/>
        <w:spacing w:before="0" w:beforeAutospacing="0" w:after="0" w:afterAutospacing="0" w:line="560" w:lineRule="exact"/>
        <w:ind w:firstLine="645"/>
        <w:rPr>
          <w:rFonts w:ascii="仿宋" w:hAnsi="仿宋" w:eastAsia="仿宋" w:cs="仿宋_GB2312"/>
          <w:color w:val="000000"/>
          <w:sz w:val="32"/>
          <w:szCs w:val="32"/>
        </w:rPr>
      </w:pPr>
      <w:r>
        <w:rPr>
          <w:rFonts w:hint="eastAsia" w:ascii="仿宋" w:hAnsi="仿宋" w:eastAsia="仿宋" w:cs="仿宋_GB2312"/>
          <w:color w:val="000000"/>
          <w:sz w:val="32"/>
          <w:szCs w:val="32"/>
        </w:rPr>
        <w:t>鼓励和引导社会资金投资土地整治项目，是社会资金投资农业、农村的重要举措，对推进投资体制改革、促进经济社会发展具有重要保障作用。该项工作纳入市政府对各镇政府、街道办事处耕地保护目标责任考核内容。</w:t>
      </w:r>
    </w:p>
    <w:p>
      <w:pPr>
        <w:pStyle w:val="4"/>
        <w:shd w:val="clear" w:color="auto" w:fill="FFFFFF"/>
        <w:spacing w:before="0" w:beforeAutospacing="0" w:after="0" w:afterAutospacing="0" w:line="560" w:lineRule="exact"/>
        <w:ind w:left="5273" w:leftChars="1368" w:hanging="2400" w:hangingChars="1000"/>
        <w:jc w:val="right"/>
      </w:pPr>
    </w:p>
    <w:p>
      <w:pPr>
        <w:pStyle w:val="4"/>
        <w:shd w:val="clear" w:color="auto" w:fill="FFFFFF"/>
        <w:spacing w:before="0" w:beforeAutospacing="0" w:after="0" w:afterAutospacing="0" w:line="560" w:lineRule="exact"/>
        <w:ind w:left="5273" w:leftChars="1368" w:hanging="2400" w:hangingChars="1000"/>
        <w:jc w:val="right"/>
      </w:pPr>
    </w:p>
    <w:p>
      <w:pPr>
        <w:pStyle w:val="4"/>
        <w:shd w:val="clear" w:color="auto" w:fill="FFFFFF"/>
        <w:spacing w:before="0" w:beforeAutospacing="0" w:after="0" w:afterAutospacing="0" w:line="560" w:lineRule="exact"/>
        <w:ind w:left="5273" w:leftChars="1368" w:hanging="2400" w:hangingChars="1000"/>
        <w:jc w:val="right"/>
      </w:pPr>
    </w:p>
    <w:p>
      <w:pPr>
        <w:tabs>
          <w:tab w:val="left" w:pos="900"/>
        </w:tabs>
        <w:adjustRightInd w:val="0"/>
        <w:snapToGrid w:val="0"/>
        <w:spacing w:line="560" w:lineRule="exact"/>
        <w:ind w:firstLine="4480" w:firstLineChars="1400"/>
        <w:rPr>
          <w:rFonts w:ascii="仿宋_GB2312" w:eastAsia="仿宋_GB2312"/>
          <w:color w:val="000000"/>
          <w:sz w:val="32"/>
          <w:szCs w:val="32"/>
        </w:rPr>
      </w:pPr>
      <w:r>
        <w:rPr>
          <w:rFonts w:hint="eastAsia" w:ascii="仿宋_GB2312" w:eastAsia="仿宋_GB2312"/>
          <w:color w:val="000000"/>
          <w:sz w:val="32"/>
          <w:szCs w:val="32"/>
        </w:rPr>
        <w:t>滕州市人民政府办公室</w:t>
      </w:r>
    </w:p>
    <w:p>
      <w:pPr>
        <w:tabs>
          <w:tab w:val="left" w:pos="900"/>
        </w:tabs>
        <w:adjustRightInd w:val="0"/>
        <w:snapToGrid w:val="0"/>
        <w:spacing w:line="560" w:lineRule="exact"/>
        <w:ind w:right="640" w:firstLine="640" w:firstLineChars="200"/>
        <w:jc w:val="center"/>
        <w:rPr>
          <w:rFonts w:ascii="仿宋_GB2312" w:eastAsia="仿宋_GB2312"/>
          <w:color w:val="000000"/>
          <w:sz w:val="32"/>
          <w:szCs w:val="32"/>
        </w:rPr>
      </w:pPr>
      <w:r>
        <w:rPr>
          <w:rFonts w:hint="eastAsia" w:ascii="仿宋_GB2312" w:eastAsia="仿宋_GB2312"/>
          <w:color w:val="000000"/>
          <w:sz w:val="32"/>
          <w:szCs w:val="32"/>
        </w:rPr>
        <w:t xml:space="preserve">                        2018年4月18日</w:t>
      </w:r>
    </w:p>
    <w:p>
      <w:pPr>
        <w:adjustRightInd w:val="0"/>
        <w:snapToGrid w:val="0"/>
        <w:spacing w:line="560" w:lineRule="exact"/>
        <w:rPr>
          <w:rFonts w:ascii="仿宋_GB2312" w:eastAsia="仿宋_GB2312"/>
          <w:color w:val="000000"/>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spacing w:line="560" w:lineRule="exact"/>
        <w:ind w:firstLine="640" w:firstLineChars="200"/>
        <w:jc w:val="right"/>
        <w:rPr>
          <w:rFonts w:ascii="仿宋_GB2312" w:eastAsia="仿宋_GB2312"/>
          <w:sz w:val="32"/>
          <w:szCs w:val="32"/>
        </w:rPr>
      </w:pPr>
    </w:p>
    <w:p>
      <w:pPr>
        <w:widowControl/>
        <w:spacing w:line="200" w:lineRule="exact"/>
        <w:rPr>
          <w:rFonts w:ascii="黑体" w:eastAsia="黑体"/>
          <w:color w:val="000000"/>
          <w:sz w:val="28"/>
        </w:rPr>
      </w:pPr>
    </w:p>
    <w:p>
      <w:pPr>
        <w:widowControl/>
        <w:spacing w:line="200" w:lineRule="exact"/>
        <w:rPr>
          <w:rFonts w:ascii="黑体" w:eastAsia="黑体"/>
          <w:color w:val="000000"/>
          <w:sz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400040" cy="25400"/>
                <wp:effectExtent l="0" t="9525" r="10160" b="22225"/>
                <wp:wrapNone/>
                <wp:docPr id="2" name="直线 2"/>
                <wp:cNvGraphicFramePr/>
                <a:graphic xmlns:a="http://schemas.openxmlformats.org/drawingml/2006/main">
                  <a:graphicData uri="http://schemas.microsoft.com/office/word/2010/wordprocessingShape">
                    <wps:wsp>
                      <wps:cNvCnPr/>
                      <wps:spPr>
                        <a:xfrm>
                          <a:off x="0" y="0"/>
                          <a:ext cx="5400040" cy="2540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3.2pt;height:2pt;width:425.2pt;z-index:251660288;mso-width-relative:page;mso-height-relative:page;" filled="f" stroked="t" coordsize="21600,21600" o:gfxdata="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56cOc0gAAAAUBAAAP&#10;AAAAAAAAAAEAIAAAADgAAABkcnMvZG93bnJldi54bWxQSwECFAAUAAAACACHTuJAE0GcVc8BAACV&#10;AwAADgAAAAAAAAABACAAAAA3AQAAZHJzL2Uyb0RvYy54bWxQSwUGAAAAAAYABgBZAQAAeAUAAAAA&#10;">
                <v:fill on="f" focussize="0,0"/>
                <v:stroke weight="1.5pt" color="#000000" joinstyle="round"/>
                <v:imagedata o:title=""/>
                <o:lock v:ext="edit" aspectratio="f"/>
              </v:line>
            </w:pict>
          </mc:Fallback>
        </mc:AlternateContent>
      </w:r>
    </w:p>
    <w:p>
      <w:pPr>
        <w:widowControl/>
        <w:spacing w:line="340" w:lineRule="exact"/>
        <w:ind w:left="1124" w:hanging="1124" w:hangingChars="400"/>
        <w:rPr>
          <w:rFonts w:ascii="仿宋_GB2312" w:eastAsia="仿宋_GB2312"/>
          <w:color w:val="000000"/>
          <w:sz w:val="28"/>
          <w:szCs w:val="28"/>
        </w:rPr>
      </w:pPr>
      <w:r>
        <w:rPr>
          <w:rFonts w:hint="eastAsia" w:ascii="仿宋_GB2312" w:eastAsia="仿宋_GB2312"/>
          <w:b/>
          <w:color w:val="000000"/>
          <w:sz w:val="28"/>
          <w:szCs w:val="28"/>
        </w:rPr>
        <w:t>抄  送：</w:t>
      </w:r>
      <w:r>
        <w:rPr>
          <w:rFonts w:hint="eastAsia" w:ascii="仿宋_GB2312" w:eastAsia="仿宋_GB2312"/>
          <w:color w:val="000000"/>
          <w:sz w:val="28"/>
          <w:szCs w:val="28"/>
        </w:rPr>
        <w:t>市委办公室，市人大常委会办公室，市政协办公室，市纪委办公室，市法院，市检察院，市人武部。</w:t>
      </w:r>
    </w:p>
    <w:p>
      <w:pPr>
        <w:widowControl/>
        <w:spacing w:line="240" w:lineRule="exact"/>
        <w:ind w:right="29" w:rightChars="14" w:firstLine="560"/>
        <w:rPr>
          <w:rFonts w:ascii="仿宋_GB2312" w:eastAsia="仿宋_GB2312"/>
          <w:color w:val="000000"/>
          <w:sz w:val="28"/>
          <w:szCs w:val="28"/>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400040" cy="0"/>
                <wp:effectExtent l="0" t="0" r="0" b="0"/>
                <wp:wrapNone/>
                <wp:docPr id="3" name="直线 3"/>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 o:spid="_x0000_s1026" o:spt="20" style="position:absolute;left:0pt;margin-left:0pt;margin-top:6pt;height:0pt;width:425.2pt;z-index:251661312;mso-width-relative:page;mso-height-relative:page;" filled="f" stroked="t" coordsize="21600,21600" o:gfxdata="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IcEHUAAAABgEA&#10;AA8AAAAAAAAAAQAgAAAAOAAAAGRycy9kb3ducmV2LnhtbFBLAQIUABQAAAAIAIdO4kDhExqFzwEA&#10;AJADAAAOAAAAAAAAAAEAIAAAADkBAABkcnMvZTJvRG9jLnhtbFBLBQYAAAAABgAGAFkBAAB6BQAA&#10;AAA=&#10;">
                <v:fill on="f" focussize="0,0"/>
                <v:stroke color="#000000" joinstyle="round"/>
                <v:imagedata o:title=""/>
                <o:lock v:ext="edit" aspectratio="f"/>
              </v:line>
            </w:pict>
          </mc:Fallback>
        </mc:AlternateContent>
      </w:r>
    </w:p>
    <w:p>
      <w:pPr>
        <w:widowControl/>
        <w:spacing w:line="340" w:lineRule="exact"/>
        <w:rPr>
          <w:rFonts w:ascii="仿宋_GB2312" w:eastAsia="仿宋_GB2312"/>
          <w:sz w:val="32"/>
          <w:szCs w:val="32"/>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251460</wp:posOffset>
                </wp:positionV>
                <wp:extent cx="5400040" cy="7620"/>
                <wp:effectExtent l="0" t="0" r="0" b="0"/>
                <wp:wrapNone/>
                <wp:docPr id="4" name="直线 4"/>
                <wp:cNvGraphicFramePr/>
                <a:graphic xmlns:a="http://schemas.openxmlformats.org/drawingml/2006/main">
                  <a:graphicData uri="http://schemas.microsoft.com/office/word/2010/wordprocessingShape">
                    <wps:wsp>
                      <wps:cNvCnPr/>
                      <wps:spPr>
                        <a:xfrm>
                          <a:off x="0" y="0"/>
                          <a:ext cx="5400040" cy="762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19.8pt;height:0.6pt;width:425.2pt;z-index:251662336;mso-width-relative:page;mso-height-relative:page;" filled="f" stroked="t" coordsize="21600,21600" o:gfxdata="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B0CAKNUA&#10;AAAGAQAADwAAAAAAAAABACAAAAA4AAAAZHJzL2Rvd25yZXYueG1sUEsBAhQAFAAAAAgAh07iQJYC&#10;DabTAQAAlAMAAA4AAAAAAAAAAQAgAAAAOgEAAGRycy9lMm9Eb2MueG1sUEsFBgAAAAAGAAYAWQEA&#10;AH8FA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w:t>滕州市人民政府办公室                    2018年4月18日印发</w:t>
      </w:r>
    </w:p>
    <w:sectPr>
      <w:headerReference r:id="rId3" w:type="default"/>
      <w:footerReference r:id="rId4" w:type="default"/>
      <w:footerReference r:id="rId5" w:type="even"/>
      <w:pgSz w:w="11906" w:h="16838"/>
      <w:pgMar w:top="1701" w:right="1701" w:bottom="1701" w:left="170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40269"/>
      <w:docPartObj>
        <w:docPartGallery w:val="autotext"/>
      </w:docPartObj>
    </w:sdtPr>
    <w:sdtContent>
      <w:p>
        <w:pPr>
          <w:pStyle w:val="2"/>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989057"/>
      <w:docPartObj>
        <w:docPartGallery w:val="autotext"/>
      </w:docPartObj>
    </w:sdtPr>
    <w:sdtContent>
      <w:p>
        <w:pPr>
          <w:pStyle w:val="2"/>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4 -</w:t>
        </w:r>
        <w:r>
          <w:rPr>
            <w:rFonts w:asciiTheme="minorEastAsia" w:hAnsiTheme="minorEastAsia" w:eastAsiaTheme="minorEastAsia"/>
            <w:sz w:val="24"/>
            <w:szCs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9E8"/>
    <w:rsid w:val="00011AE8"/>
    <w:rsid w:val="00017F2B"/>
    <w:rsid w:val="00036DDF"/>
    <w:rsid w:val="00053CED"/>
    <w:rsid w:val="00062CF2"/>
    <w:rsid w:val="00071ED0"/>
    <w:rsid w:val="000A7BF0"/>
    <w:rsid w:val="000C6173"/>
    <w:rsid w:val="000F59E8"/>
    <w:rsid w:val="00110B13"/>
    <w:rsid w:val="00117A3A"/>
    <w:rsid w:val="00150EA3"/>
    <w:rsid w:val="0016334B"/>
    <w:rsid w:val="001733C6"/>
    <w:rsid w:val="001842A9"/>
    <w:rsid w:val="00190107"/>
    <w:rsid w:val="001C6FC5"/>
    <w:rsid w:val="001D606F"/>
    <w:rsid w:val="002006C5"/>
    <w:rsid w:val="00202596"/>
    <w:rsid w:val="00215BC3"/>
    <w:rsid w:val="00250B17"/>
    <w:rsid w:val="00254CBB"/>
    <w:rsid w:val="00257A42"/>
    <w:rsid w:val="00260B75"/>
    <w:rsid w:val="00297164"/>
    <w:rsid w:val="002B1490"/>
    <w:rsid w:val="002C12FC"/>
    <w:rsid w:val="002F78FA"/>
    <w:rsid w:val="0030068A"/>
    <w:rsid w:val="00326CD0"/>
    <w:rsid w:val="00327783"/>
    <w:rsid w:val="003319F9"/>
    <w:rsid w:val="00366710"/>
    <w:rsid w:val="003A39B3"/>
    <w:rsid w:val="003D0762"/>
    <w:rsid w:val="003D08B7"/>
    <w:rsid w:val="003D5ACE"/>
    <w:rsid w:val="0046757E"/>
    <w:rsid w:val="004A4BF5"/>
    <w:rsid w:val="004C7BE4"/>
    <w:rsid w:val="004F0D3E"/>
    <w:rsid w:val="005115E6"/>
    <w:rsid w:val="00543E25"/>
    <w:rsid w:val="00544B7B"/>
    <w:rsid w:val="0055277E"/>
    <w:rsid w:val="005703DB"/>
    <w:rsid w:val="005B2846"/>
    <w:rsid w:val="005D2A56"/>
    <w:rsid w:val="005D42FA"/>
    <w:rsid w:val="006145A5"/>
    <w:rsid w:val="00636D5F"/>
    <w:rsid w:val="006408C3"/>
    <w:rsid w:val="0068218B"/>
    <w:rsid w:val="006A317B"/>
    <w:rsid w:val="006B2456"/>
    <w:rsid w:val="006B4E46"/>
    <w:rsid w:val="006C397A"/>
    <w:rsid w:val="006F1613"/>
    <w:rsid w:val="00704005"/>
    <w:rsid w:val="0072466B"/>
    <w:rsid w:val="00756A15"/>
    <w:rsid w:val="00785166"/>
    <w:rsid w:val="007F3D8D"/>
    <w:rsid w:val="008151C9"/>
    <w:rsid w:val="00822C17"/>
    <w:rsid w:val="008424F3"/>
    <w:rsid w:val="00851EA6"/>
    <w:rsid w:val="00866288"/>
    <w:rsid w:val="00870069"/>
    <w:rsid w:val="0089145B"/>
    <w:rsid w:val="008B1813"/>
    <w:rsid w:val="008B3E16"/>
    <w:rsid w:val="008C1C38"/>
    <w:rsid w:val="00914E16"/>
    <w:rsid w:val="00926F4F"/>
    <w:rsid w:val="009722DF"/>
    <w:rsid w:val="00995EEA"/>
    <w:rsid w:val="009A4CA7"/>
    <w:rsid w:val="009E566C"/>
    <w:rsid w:val="00A40E3D"/>
    <w:rsid w:val="00A444EB"/>
    <w:rsid w:val="00A71736"/>
    <w:rsid w:val="00A80B87"/>
    <w:rsid w:val="00AA2735"/>
    <w:rsid w:val="00AB4291"/>
    <w:rsid w:val="00AE40DF"/>
    <w:rsid w:val="00AF6A89"/>
    <w:rsid w:val="00B133C3"/>
    <w:rsid w:val="00B4513D"/>
    <w:rsid w:val="00BB231B"/>
    <w:rsid w:val="00BC103F"/>
    <w:rsid w:val="00C00C1C"/>
    <w:rsid w:val="00C31D3D"/>
    <w:rsid w:val="00C5262E"/>
    <w:rsid w:val="00C53974"/>
    <w:rsid w:val="00C83D89"/>
    <w:rsid w:val="00C849BB"/>
    <w:rsid w:val="00CB3718"/>
    <w:rsid w:val="00D14D43"/>
    <w:rsid w:val="00D3456C"/>
    <w:rsid w:val="00D5332E"/>
    <w:rsid w:val="00D65625"/>
    <w:rsid w:val="00DB0339"/>
    <w:rsid w:val="00DC6DC5"/>
    <w:rsid w:val="00DD4FF0"/>
    <w:rsid w:val="00E31B07"/>
    <w:rsid w:val="00E55C26"/>
    <w:rsid w:val="00E739E5"/>
    <w:rsid w:val="00EC11C7"/>
    <w:rsid w:val="00ED3F3F"/>
    <w:rsid w:val="00F010E2"/>
    <w:rsid w:val="00F37D9C"/>
    <w:rsid w:val="00F43DBA"/>
    <w:rsid w:val="00F9197F"/>
    <w:rsid w:val="00FE4D7B"/>
    <w:rsid w:val="00FF0BB5"/>
    <w:rsid w:val="15DB1F30"/>
    <w:rsid w:val="311863E1"/>
    <w:rsid w:val="408A3A18"/>
    <w:rsid w:val="41D66F67"/>
    <w:rsid w:val="4CB14196"/>
    <w:rsid w:val="74916EB3"/>
    <w:rsid w:val="D77FDF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
    <w:name w:val="Title"/>
    <w:basedOn w:val="1"/>
    <w:next w:val="1"/>
    <w:link w:val="10"/>
    <w:qFormat/>
    <w:uiPriority w:val="0"/>
    <w:pPr>
      <w:spacing w:before="240" w:after="60"/>
      <w:jc w:val="center"/>
      <w:outlineLvl w:val="0"/>
    </w:pPr>
    <w:rPr>
      <w:rFonts w:asciiTheme="majorHAnsi" w:hAnsiTheme="majorHAnsi" w:cstheme="majorBidi"/>
      <w:b/>
      <w:bCs/>
      <w:sz w:val="32"/>
      <w:szCs w:val="32"/>
    </w:rPr>
  </w:style>
  <w:style w:type="character" w:customStyle="1" w:styleId="8">
    <w:name w:val="页眉 Char"/>
    <w:basedOn w:val="7"/>
    <w:link w:val="3"/>
    <w:qFormat/>
    <w:uiPriority w:val="0"/>
    <w:rPr>
      <w:rFonts w:ascii="Calibri" w:hAnsi="Calibri" w:eastAsia="宋体" w:cs="Calibri"/>
      <w:kern w:val="2"/>
      <w:sz w:val="18"/>
      <w:szCs w:val="18"/>
    </w:rPr>
  </w:style>
  <w:style w:type="character" w:customStyle="1" w:styleId="9">
    <w:name w:val="页脚 Char"/>
    <w:basedOn w:val="7"/>
    <w:link w:val="2"/>
    <w:qFormat/>
    <w:uiPriority w:val="99"/>
    <w:rPr>
      <w:rFonts w:ascii="Calibri" w:hAnsi="Calibri" w:eastAsia="宋体" w:cs="Calibri"/>
      <w:kern w:val="2"/>
      <w:sz w:val="18"/>
      <w:szCs w:val="18"/>
    </w:rPr>
  </w:style>
  <w:style w:type="character" w:customStyle="1" w:styleId="10">
    <w:name w:val="标题 Char"/>
    <w:basedOn w:val="7"/>
    <w:link w:val="5"/>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4</Pages>
  <Words>246</Words>
  <Characters>1408</Characters>
  <Lines>11</Lines>
  <Paragraphs>3</Paragraphs>
  <TotalTime>0</TotalTime>
  <ScaleCrop>false</ScaleCrop>
  <LinksUpToDate>false</LinksUpToDate>
  <CharactersWithSpaces>1651</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2018-03-29T08:24:00Z</dcterms:created>
  <dc:creator>Administrator</dc:creator>
  <cp:lastModifiedBy>爱新觉罗-琛</cp:lastModifiedBy>
  <cp:lastPrinted>2018-03-29T08:24:00Z</cp:lastPrinted>
  <dcterms:modified xsi:type="dcterms:W3CDTF">2021-12-20T08:55:12Z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